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 w:line="259" w:lineRule="auto"/>
        <w:ind w:left="0" w:firstLine="0"/>
        <w:jc w:val="left"/>
        <w:rPr/>
      </w:pPr>
      <w:r w:rsidDel="00000000" w:rsidR="00000000" w:rsidRPr="00000000">
        <w:rPr>
          <w:rFonts w:ascii="Garamond" w:cs="Garamond" w:eastAsia="Garamond" w:hAnsi="Garamond"/>
          <w:sz w:val="26"/>
          <w:szCs w:val="26"/>
          <w:rtl w:val="0"/>
        </w:rPr>
        <w:t xml:space="preserve"> </w:t>
      </w:r>
      <w:r w:rsidDel="00000000" w:rsidR="00000000" w:rsidRPr="00000000">
        <w:rPr>
          <w:rtl w:val="0"/>
        </w:rPr>
      </w:r>
    </w:p>
    <w:p w:rsidR="00000000" w:rsidDel="00000000" w:rsidP="00000000" w:rsidRDefault="00000000" w:rsidRPr="00000000" w14:paraId="00000002">
      <w:pPr>
        <w:spacing w:line="259" w:lineRule="auto"/>
        <w:ind w:left="14" w:hanging="10"/>
        <w:jc w:val="center"/>
        <w:rPr/>
      </w:pPr>
      <w:r w:rsidDel="00000000" w:rsidR="00000000" w:rsidRPr="00000000">
        <w:rPr>
          <w:b w:val="1"/>
          <w:rtl w:val="0"/>
        </w:rPr>
        <w:t xml:space="preserve">TITLE 4 </w:t>
      </w:r>
      <w:r w:rsidDel="00000000" w:rsidR="00000000" w:rsidRPr="00000000">
        <w:rPr>
          <w:rtl w:val="0"/>
        </w:rPr>
      </w:r>
    </w:p>
    <w:p w:rsidR="00000000" w:rsidDel="00000000" w:rsidP="00000000" w:rsidRDefault="00000000" w:rsidRPr="00000000" w14:paraId="00000003">
      <w:pPr>
        <w:spacing w:line="259" w:lineRule="auto"/>
        <w:ind w:left="14" w:right="4" w:hanging="10"/>
        <w:jc w:val="center"/>
        <w:rPr>
          <w:strike w:val="1"/>
        </w:rPr>
      </w:pPr>
      <w:r w:rsidDel="00000000" w:rsidR="00000000" w:rsidRPr="00000000">
        <w:rPr>
          <w:b w:val="1"/>
          <w:rtl w:val="0"/>
        </w:rPr>
        <w:t xml:space="preserve">SGA CODE OF CONDUCT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line="259" w:lineRule="auto"/>
        <w:ind w:left="0" w:firstLine="0"/>
        <w:rPr>
          <w:b w:val="1"/>
        </w:rPr>
      </w:pPr>
      <w:r w:rsidDel="00000000" w:rsidR="00000000" w:rsidRPr="00000000">
        <w:rPr>
          <w:b w:val="1"/>
          <w:rtl w:val="0"/>
        </w:rPr>
        <w:t xml:space="preserve"> Title                                                                                                                                           Section</w:t>
      </w:r>
    </w:p>
    <w:p w:rsidR="00000000" w:rsidDel="00000000" w:rsidP="00000000" w:rsidRDefault="00000000" w:rsidRPr="00000000" w14:paraId="00000006">
      <w:pPr>
        <w:spacing w:line="259" w:lineRule="auto"/>
        <w:ind w:left="0" w:firstLine="0"/>
        <w:rPr/>
      </w:pPr>
      <w:r w:rsidDel="00000000" w:rsidR="00000000" w:rsidRPr="00000000">
        <w:rPr>
          <w:rtl w:val="0"/>
        </w:rPr>
        <w:t xml:space="preserve">Definitions                                                                                                                                            1</w:t>
      </w:r>
    </w:p>
    <w:p w:rsidR="00000000" w:rsidDel="00000000" w:rsidP="00000000" w:rsidRDefault="00000000" w:rsidRPr="00000000" w14:paraId="00000007">
      <w:pPr>
        <w:spacing w:line="259" w:lineRule="auto"/>
        <w:ind w:left="0" w:firstLine="0"/>
        <w:rPr/>
      </w:pPr>
      <w:r w:rsidDel="00000000" w:rsidR="00000000" w:rsidRPr="00000000">
        <w:rPr>
          <w:rtl w:val="0"/>
        </w:rPr>
        <w:t xml:space="preserve">Relationship with External Guides                                                                                                       2</w:t>
      </w:r>
    </w:p>
    <w:p w:rsidR="00000000" w:rsidDel="00000000" w:rsidP="00000000" w:rsidRDefault="00000000" w:rsidRPr="00000000" w14:paraId="00000008">
      <w:pPr>
        <w:spacing w:line="259" w:lineRule="auto"/>
        <w:ind w:left="0" w:firstLine="0"/>
        <w:rPr/>
      </w:pPr>
      <w:r w:rsidDel="00000000" w:rsidR="00000000" w:rsidRPr="00000000">
        <w:rPr>
          <w:rtl w:val="0"/>
        </w:rPr>
        <w:t xml:space="preserve">Conduct Expectations of SGA Officers                                                                                                3</w:t>
      </w:r>
    </w:p>
    <w:p w:rsidR="00000000" w:rsidDel="00000000" w:rsidP="00000000" w:rsidRDefault="00000000" w:rsidRPr="00000000" w14:paraId="00000009">
      <w:pPr>
        <w:spacing w:line="259" w:lineRule="auto"/>
        <w:ind w:left="0" w:firstLine="0"/>
        <w:rPr/>
      </w:pPr>
      <w:r w:rsidDel="00000000" w:rsidR="00000000" w:rsidRPr="00000000">
        <w:rPr>
          <w:rtl w:val="0"/>
        </w:rPr>
      </w:r>
    </w:p>
    <w:p w:rsidR="00000000" w:rsidDel="00000000" w:rsidP="00000000" w:rsidRDefault="00000000" w:rsidRPr="00000000" w14:paraId="0000000A">
      <w:pPr>
        <w:spacing w:line="259" w:lineRule="auto"/>
        <w:ind w:left="0" w:firstLine="0"/>
        <w:rPr>
          <w:b w:val="1"/>
        </w:rPr>
      </w:pPr>
      <w:r w:rsidDel="00000000" w:rsidR="00000000" w:rsidRPr="00000000">
        <w:rPr>
          <w:b w:val="1"/>
          <w:rtl w:val="0"/>
        </w:rPr>
        <w:t xml:space="preserve">SECTION 1: DEFINITIONS</w:t>
      </w:r>
    </w:p>
    <w:p w:rsidR="00000000" w:rsidDel="00000000" w:rsidP="00000000" w:rsidRDefault="00000000" w:rsidRPr="00000000" w14:paraId="0000000B">
      <w:pPr>
        <w:spacing w:line="259" w:lineRule="auto"/>
        <w:ind w:left="720" w:firstLine="0"/>
        <w:rPr/>
      </w:pPr>
      <w:r w:rsidDel="00000000" w:rsidR="00000000" w:rsidRPr="00000000">
        <w:rPr>
          <w:b w:val="1"/>
          <w:i w:val="1"/>
          <w:rtl w:val="0"/>
        </w:rPr>
        <w:t xml:space="preserve">1.1. </w:t>
      </w:r>
      <w:r w:rsidDel="00000000" w:rsidR="00000000" w:rsidRPr="00000000">
        <w:rPr>
          <w:rtl w:val="0"/>
        </w:rPr>
        <w:t xml:space="preserve">”SGA Officer,” refers to the holders of any and all appointed or elected positions within the executive, legislative, and/or judicial branches of the Student Government Association of Oklahoma State University.</w:t>
      </w:r>
    </w:p>
    <w:p w:rsidR="00000000" w:rsidDel="00000000" w:rsidP="00000000" w:rsidRDefault="00000000" w:rsidRPr="00000000" w14:paraId="0000000C">
      <w:pPr>
        <w:spacing w:line="259" w:lineRule="auto"/>
        <w:ind w:left="720" w:firstLine="0"/>
        <w:rPr/>
      </w:pPr>
      <w:r w:rsidDel="00000000" w:rsidR="00000000" w:rsidRPr="00000000">
        <w:rPr>
          <w:b w:val="1"/>
          <w:i w:val="1"/>
          <w:rtl w:val="0"/>
        </w:rPr>
        <w:t xml:space="preserve">1.2. </w:t>
      </w:r>
      <w:r w:rsidDel="00000000" w:rsidR="00000000" w:rsidRPr="00000000">
        <w:rPr>
          <w:rtl w:val="0"/>
        </w:rPr>
        <w:t xml:space="preserve">“Governing Documents,” refers to the Bylaws and Senate Standing Rules of the Student Government Association.</w:t>
      </w:r>
    </w:p>
    <w:p w:rsidR="00000000" w:rsidDel="00000000" w:rsidP="00000000" w:rsidRDefault="00000000" w:rsidRPr="00000000" w14:paraId="0000000D">
      <w:pPr>
        <w:spacing w:line="259" w:lineRule="auto"/>
        <w:ind w:left="720" w:firstLine="0"/>
        <w:rPr/>
      </w:pPr>
      <w:r w:rsidDel="00000000" w:rsidR="00000000" w:rsidRPr="00000000">
        <w:rPr>
          <w:rtl w:val="0"/>
        </w:rPr>
      </w:r>
    </w:p>
    <w:p w:rsidR="00000000" w:rsidDel="00000000" w:rsidP="00000000" w:rsidRDefault="00000000" w:rsidRPr="00000000" w14:paraId="0000000E">
      <w:pPr>
        <w:spacing w:line="259" w:lineRule="auto"/>
        <w:ind w:left="0" w:firstLine="0"/>
        <w:rPr>
          <w:b w:val="1"/>
        </w:rPr>
      </w:pPr>
      <w:r w:rsidDel="00000000" w:rsidR="00000000" w:rsidRPr="00000000">
        <w:rPr>
          <w:b w:val="1"/>
          <w:rtl w:val="0"/>
        </w:rPr>
        <w:t xml:space="preserve">SECTION 2: RELATIONSHIP WITH EXTERNAL GUIDES</w:t>
      </w:r>
    </w:p>
    <w:p w:rsidR="00000000" w:rsidDel="00000000" w:rsidP="00000000" w:rsidRDefault="00000000" w:rsidRPr="00000000" w14:paraId="0000000F">
      <w:pPr>
        <w:spacing w:line="259" w:lineRule="auto"/>
        <w:ind w:left="720" w:firstLine="0"/>
        <w:rPr/>
      </w:pPr>
      <w:r w:rsidDel="00000000" w:rsidR="00000000" w:rsidRPr="00000000">
        <w:rPr>
          <w:b w:val="1"/>
          <w:i w:val="1"/>
          <w:rtl w:val="0"/>
        </w:rPr>
        <w:t xml:space="preserve">2.1. </w:t>
      </w:r>
      <w:r w:rsidDel="00000000" w:rsidR="00000000" w:rsidRPr="00000000">
        <w:rPr>
          <w:rtl w:val="0"/>
        </w:rPr>
        <w:t xml:space="preserve">All SGA officers shall adhere to the OSU Student Code of Conduct, the mission statement of the Division of Institutional Diversity, and the Constitution and governing documents of the Student Government Association. </w:t>
      </w:r>
    </w:p>
    <w:p w:rsidR="00000000" w:rsidDel="00000000" w:rsidP="00000000" w:rsidRDefault="00000000" w:rsidRPr="00000000" w14:paraId="00000010">
      <w:pPr>
        <w:spacing w:line="259" w:lineRule="auto"/>
        <w:ind w:left="1440" w:firstLine="0"/>
        <w:rPr/>
      </w:pPr>
      <w:r w:rsidDel="00000000" w:rsidR="00000000" w:rsidRPr="00000000">
        <w:rPr>
          <w:b w:val="1"/>
          <w:i w:val="1"/>
          <w:rtl w:val="0"/>
        </w:rPr>
        <w:t xml:space="preserve">2.1.1. </w:t>
      </w:r>
      <w:r w:rsidDel="00000000" w:rsidR="00000000" w:rsidRPr="00000000">
        <w:rPr>
          <w:rtl w:val="0"/>
        </w:rPr>
        <w:t xml:space="preserve">SGA Officers shall abide by the norms for conduct established by their branch.</w:t>
      </w:r>
    </w:p>
    <w:p w:rsidR="00000000" w:rsidDel="00000000" w:rsidP="00000000" w:rsidRDefault="00000000" w:rsidRPr="00000000" w14:paraId="00000011">
      <w:pPr>
        <w:spacing w:line="259" w:lineRule="auto"/>
        <w:ind w:left="2160" w:firstLine="0"/>
        <w:rPr/>
      </w:pPr>
      <w:r w:rsidDel="00000000" w:rsidR="00000000" w:rsidRPr="00000000">
        <w:rPr>
          <w:b w:val="1"/>
          <w:i w:val="1"/>
          <w:rtl w:val="0"/>
        </w:rPr>
        <w:t xml:space="preserve">2.1.1.1. </w:t>
      </w:r>
      <w:r w:rsidDel="00000000" w:rsidR="00000000" w:rsidRPr="00000000">
        <w:rPr>
          <w:rtl w:val="0"/>
        </w:rPr>
        <w:t xml:space="preserve">Members of the legislative branch shall follow the Senate Standing Rules. </w:t>
      </w:r>
    </w:p>
    <w:p w:rsidR="00000000" w:rsidDel="00000000" w:rsidP="00000000" w:rsidRDefault="00000000" w:rsidRPr="00000000" w14:paraId="00000012">
      <w:pPr>
        <w:spacing w:line="259" w:lineRule="auto"/>
        <w:ind w:left="2160" w:firstLine="0"/>
        <w:rPr/>
      </w:pPr>
      <w:r w:rsidDel="00000000" w:rsidR="00000000" w:rsidRPr="00000000">
        <w:rPr>
          <w:b w:val="1"/>
          <w:i w:val="1"/>
          <w:rtl w:val="0"/>
        </w:rPr>
        <w:t xml:space="preserve">2.1.1.2. </w:t>
      </w:r>
      <w:r w:rsidDel="00000000" w:rsidR="00000000" w:rsidRPr="00000000">
        <w:rPr>
          <w:rtl w:val="0"/>
        </w:rPr>
        <w:t xml:space="preserve">Members of the executive branch shall follow the norms established at </w:t>
        <w:tab/>
        <w:t xml:space="preserve">the President’s discretion. </w:t>
      </w:r>
    </w:p>
    <w:p w:rsidR="00000000" w:rsidDel="00000000" w:rsidP="00000000" w:rsidRDefault="00000000" w:rsidRPr="00000000" w14:paraId="00000013">
      <w:pPr>
        <w:spacing w:line="259" w:lineRule="auto"/>
        <w:ind w:left="2160" w:firstLine="0"/>
        <w:rPr/>
      </w:pPr>
      <w:r w:rsidDel="00000000" w:rsidR="00000000" w:rsidRPr="00000000">
        <w:rPr>
          <w:b w:val="1"/>
          <w:i w:val="1"/>
          <w:rtl w:val="0"/>
        </w:rPr>
        <w:t xml:space="preserve">2.1.1.3. </w:t>
      </w:r>
      <w:r w:rsidDel="00000000" w:rsidR="00000000" w:rsidRPr="00000000">
        <w:rPr>
          <w:rtl w:val="0"/>
        </w:rPr>
        <w:t xml:space="preserve">Members of the judicial branch shall follow the norms established at the Chief Justice’s discretion.</w:t>
      </w:r>
    </w:p>
    <w:p w:rsidR="00000000" w:rsidDel="00000000" w:rsidP="00000000" w:rsidRDefault="00000000" w:rsidRPr="00000000" w14:paraId="00000014">
      <w:pPr>
        <w:spacing w:line="259" w:lineRule="auto"/>
        <w:ind w:left="720" w:firstLine="0"/>
        <w:rPr/>
      </w:pPr>
      <w:r w:rsidDel="00000000" w:rsidR="00000000" w:rsidRPr="00000000">
        <w:rPr>
          <w:b w:val="1"/>
          <w:i w:val="1"/>
          <w:rtl w:val="0"/>
        </w:rPr>
        <w:t xml:space="preserve">2.2. </w:t>
      </w:r>
      <w:r w:rsidDel="00000000" w:rsidR="00000000" w:rsidRPr="00000000">
        <w:rPr>
          <w:rtl w:val="0"/>
        </w:rPr>
        <w:t xml:space="preserve">SGA Officers shall be under the obligation to disclose knowledge of violations of the SGA Constitution, governing documents, OSU Student Code of Conduct, the mission statement of the Division of Institutional Diversity, or norms established by their branch to the appropriate party.</w:t>
      </w:r>
    </w:p>
    <w:p w:rsidR="00000000" w:rsidDel="00000000" w:rsidP="00000000" w:rsidRDefault="00000000" w:rsidRPr="00000000" w14:paraId="00000015">
      <w:pPr>
        <w:spacing w:line="259" w:lineRule="auto"/>
        <w:ind w:left="0" w:firstLine="0"/>
        <w:rPr/>
      </w:pPr>
      <w:r w:rsidDel="00000000" w:rsidR="00000000" w:rsidRPr="00000000">
        <w:rPr>
          <w:rtl w:val="0"/>
        </w:rPr>
      </w:r>
    </w:p>
    <w:p w:rsidR="00000000" w:rsidDel="00000000" w:rsidP="00000000" w:rsidRDefault="00000000" w:rsidRPr="00000000" w14:paraId="00000016">
      <w:pPr>
        <w:spacing w:line="259" w:lineRule="auto"/>
        <w:ind w:left="0" w:firstLine="0"/>
        <w:rPr>
          <w:b w:val="1"/>
        </w:rPr>
      </w:pPr>
      <w:r w:rsidDel="00000000" w:rsidR="00000000" w:rsidRPr="00000000">
        <w:rPr>
          <w:b w:val="1"/>
          <w:rtl w:val="0"/>
        </w:rPr>
        <w:t xml:space="preserve">SECTION 3: CONDUCT EXPECTATIONS OF SGA OFFICERS</w:t>
      </w:r>
    </w:p>
    <w:p w:rsidR="00000000" w:rsidDel="00000000" w:rsidP="00000000" w:rsidRDefault="00000000" w:rsidRPr="00000000" w14:paraId="00000017">
      <w:pPr>
        <w:spacing w:line="259" w:lineRule="auto"/>
        <w:ind w:left="720" w:firstLine="0"/>
        <w:rPr/>
      </w:pPr>
      <w:r w:rsidDel="00000000" w:rsidR="00000000" w:rsidRPr="00000000">
        <w:rPr>
          <w:b w:val="1"/>
          <w:i w:val="1"/>
          <w:rtl w:val="0"/>
        </w:rPr>
        <w:t xml:space="preserve">3.1. </w:t>
      </w:r>
      <w:r w:rsidDel="00000000" w:rsidR="00000000" w:rsidRPr="00000000">
        <w:rPr>
          <w:rtl w:val="0"/>
        </w:rPr>
        <w:t xml:space="preserve">SGA Officers shall not intentionally defame another SGA officer. This includes, but is not limited to, anything that defames an individual through mediums such as obscene gestures, spoken words, cyber content, or printed documents.  </w:t>
      </w:r>
    </w:p>
    <w:p w:rsidR="00000000" w:rsidDel="00000000" w:rsidP="00000000" w:rsidRDefault="00000000" w:rsidRPr="00000000" w14:paraId="00000018">
      <w:pPr>
        <w:spacing w:line="259" w:lineRule="auto"/>
        <w:ind w:left="720" w:firstLine="0"/>
        <w:rPr/>
      </w:pPr>
      <w:r w:rsidDel="00000000" w:rsidR="00000000" w:rsidRPr="00000000">
        <w:rPr>
          <w:b w:val="1"/>
          <w:i w:val="1"/>
          <w:rtl w:val="0"/>
        </w:rPr>
        <w:t xml:space="preserve">3.2. </w:t>
      </w:r>
      <w:r w:rsidDel="00000000" w:rsidR="00000000" w:rsidRPr="00000000">
        <w:rPr>
          <w:rtl w:val="0"/>
        </w:rPr>
        <w:t xml:space="preserve">SGA Officers are expected to promote an inclusive environment both inside and outside the OSU Student Government Association. They shall also oppose all forms of discrimination, harassment, and the unfair treatment of any person(s).</w:t>
      </w:r>
    </w:p>
    <w:p w:rsidR="00000000" w:rsidDel="00000000" w:rsidP="00000000" w:rsidRDefault="00000000" w:rsidRPr="00000000" w14:paraId="00000019">
      <w:pPr>
        <w:spacing w:line="259" w:lineRule="auto"/>
        <w:ind w:left="0" w:firstLine="0"/>
        <w:rPr/>
      </w:pPr>
      <w:r w:rsidDel="00000000" w:rsidR="00000000" w:rsidRPr="00000000">
        <w:rPr>
          <w:rtl w:val="0"/>
        </w:rPr>
      </w:r>
    </w:p>
    <w:p w:rsidR="00000000" w:rsidDel="00000000" w:rsidP="00000000" w:rsidRDefault="00000000" w:rsidRPr="00000000" w14:paraId="0000001A">
      <w:pPr>
        <w:spacing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B">
      <w:pPr>
        <w:spacing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C">
      <w:pPr>
        <w:spacing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D">
      <w:pPr>
        <w:spacing w:line="259" w:lineRule="auto"/>
        <w:ind w:left="0" w:firstLine="0"/>
        <w:rPr/>
      </w:pPr>
      <w:r w:rsidDel="00000000" w:rsidR="00000000" w:rsidRPr="00000000">
        <w:rPr>
          <w:rtl w:val="0"/>
        </w:rPr>
      </w:r>
    </w:p>
    <w:sectPr>
      <w:footerReference r:id="rId7" w:type="default"/>
      <w:pgSz w:h="15840" w:w="12240" w:orient="portrait"/>
      <w:pgMar w:bottom="1440" w:top="1440" w:left="1440" w:right="14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rtl w:val="0"/>
      </w:rPr>
      <w:t xml:space="preserve">Title IV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48.00000000000006" w:lineRule="auto"/>
        <w:ind w:left="73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4"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48" w:lineRule="auto"/>
      <w:ind w:left="731" w:hanging="731"/>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line="259" w:lineRule="auto"/>
      <w:ind w:left="14"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0cO09VC6rvajKBa4uTy/ErGPQ==">CgMxLjA4AHIhMXBwcGlDcjFKZ2o0Q2hSbmpLZGt5Rm5Yc1NBdDdGS2da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2023-10-04T00:04:00Z</dcterms:created>
  <dc:creator>Hepner, Hammons Paul</dc:creator>
</cp:coreProperties>
</file>